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val="0"/>
          <w:sz w:val="32"/>
          <w:szCs w:val="28"/>
          <w:lang w:val="en-US" w:eastAsia="zh-CN"/>
        </w:rPr>
      </w:pPr>
      <w:r>
        <w:rPr>
          <w:rFonts w:hint="eastAsia" w:asciiTheme="minorEastAsia" w:hAnsiTheme="minorEastAsia" w:eastAsiaTheme="minorEastAsia" w:cstheme="minorEastAsia"/>
          <w:b/>
          <w:bCs w:val="0"/>
          <w:sz w:val="32"/>
          <w:szCs w:val="28"/>
          <w:lang w:val="en-US" w:eastAsia="zh-CN"/>
        </w:rPr>
        <w:t>上海退役军人学院</w:t>
      </w:r>
      <w:r>
        <w:rPr>
          <w:rFonts w:hint="default" w:asciiTheme="minorEastAsia" w:hAnsiTheme="minorEastAsia" w:eastAsiaTheme="minorEastAsia" w:cstheme="minorEastAsia"/>
          <w:b/>
          <w:bCs w:val="0"/>
          <w:sz w:val="32"/>
          <w:szCs w:val="28"/>
          <w:lang w:eastAsia="zh-CN"/>
        </w:rPr>
        <w:t>2024</w:t>
      </w:r>
      <w:r>
        <w:rPr>
          <w:rFonts w:hint="eastAsia" w:asciiTheme="minorEastAsia" w:hAnsiTheme="minorEastAsia" w:eastAsiaTheme="minorEastAsia" w:cstheme="minorEastAsia"/>
          <w:b/>
          <w:bCs w:val="0"/>
          <w:sz w:val="32"/>
          <w:szCs w:val="28"/>
          <w:lang w:val="en-US" w:eastAsia="zh-Hans"/>
        </w:rPr>
        <w:t>年度</w:t>
      </w:r>
      <w:r>
        <w:rPr>
          <w:rFonts w:hint="eastAsia" w:asciiTheme="minorEastAsia" w:hAnsiTheme="minorEastAsia" w:eastAsiaTheme="minorEastAsia" w:cstheme="minorEastAsia"/>
          <w:b/>
          <w:bCs w:val="0"/>
          <w:sz w:val="32"/>
          <w:szCs w:val="28"/>
          <w:lang w:val="en-US" w:eastAsia="zh-CN"/>
        </w:rPr>
        <w:t>研究生</w:t>
      </w:r>
    </w:p>
    <w:p>
      <w:pPr>
        <w:spacing w:line="360" w:lineRule="auto"/>
        <w:ind w:firstLine="641" w:firstLineChars="200"/>
        <w:rPr>
          <w:rFonts w:hint="eastAsia" w:asciiTheme="minorEastAsia" w:hAnsiTheme="minorEastAsia" w:eastAsiaTheme="minorEastAsia" w:cstheme="minorEastAsia"/>
          <w:b/>
          <w:bCs w:val="0"/>
          <w:sz w:val="32"/>
          <w:szCs w:val="28"/>
          <w:lang w:val="en-US" w:eastAsia="zh-CN"/>
        </w:rPr>
      </w:pPr>
      <w:r>
        <w:rPr>
          <w:rFonts w:hint="eastAsia" w:asciiTheme="minorEastAsia" w:hAnsiTheme="minorEastAsia" w:eastAsiaTheme="minorEastAsia" w:cstheme="minorEastAsia"/>
          <w:b/>
          <w:bCs w:val="0"/>
          <w:sz w:val="32"/>
          <w:szCs w:val="28"/>
          <w:lang w:val="en-US" w:eastAsia="zh-CN"/>
        </w:rPr>
        <w:t>“优秀学生</w:t>
      </w:r>
      <w:r>
        <w:rPr>
          <w:rFonts w:hint="eastAsia" w:asciiTheme="minorEastAsia" w:hAnsiTheme="minorEastAsia" w:eastAsiaTheme="minorEastAsia" w:cstheme="minorEastAsia"/>
          <w:b/>
          <w:bCs w:val="0"/>
          <w:sz w:val="32"/>
          <w:szCs w:val="28"/>
          <w:lang w:val="en-US" w:eastAsia="zh-Hans"/>
        </w:rPr>
        <w:t>”</w:t>
      </w:r>
      <w:r>
        <w:rPr>
          <w:rFonts w:hint="eastAsia" w:asciiTheme="minorEastAsia" w:hAnsiTheme="minorEastAsia" w:eastAsiaTheme="minorEastAsia" w:cstheme="minorEastAsia"/>
          <w:b/>
          <w:bCs w:val="0"/>
          <w:sz w:val="32"/>
          <w:szCs w:val="28"/>
          <w:lang w:val="en-US" w:eastAsia="zh-CN"/>
        </w:rPr>
        <w:t>“优秀学生干部”评</w:t>
      </w:r>
      <w:r>
        <w:rPr>
          <w:rFonts w:hint="eastAsia" w:asciiTheme="minorEastAsia" w:hAnsiTheme="minorEastAsia" w:eastAsiaTheme="minorEastAsia" w:cstheme="minorEastAsia"/>
          <w:b/>
          <w:bCs w:val="0"/>
          <w:sz w:val="32"/>
          <w:szCs w:val="28"/>
          <w:lang w:val="en-US" w:eastAsia="zh-Hans"/>
        </w:rPr>
        <w:t>选</w:t>
      </w:r>
      <w:r>
        <w:rPr>
          <w:rFonts w:hint="eastAsia" w:asciiTheme="minorEastAsia" w:hAnsiTheme="minorEastAsia" w:eastAsiaTheme="minorEastAsia" w:cstheme="minorEastAsia"/>
          <w:b/>
          <w:bCs w:val="0"/>
          <w:sz w:val="32"/>
          <w:szCs w:val="28"/>
          <w:lang w:val="en-US" w:eastAsia="zh-CN"/>
        </w:rPr>
        <w:t>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lang w:val="en-US" w:eastAsia="zh-CN"/>
        </w:rPr>
      </w:pPr>
      <w:r>
        <w:rPr>
          <w:rFonts w:hint="eastAsia" w:ascii="宋体" w:hAnsi="宋体" w:cs="宋体"/>
          <w:color w:val="000000"/>
          <w:sz w:val="24"/>
          <w:shd w:val="clear" w:color="auto" w:fill="FFFFFF"/>
        </w:rPr>
        <w:t>为全面贯彻党的教育方针，落实立德树人根本任务，深入实施人才强国战略，充分发挥先进典型的</w:t>
      </w:r>
      <w:r>
        <w:rPr>
          <w:rFonts w:hint="eastAsia" w:ascii="Times New Roman" w:hAnsi="Times New Roman" w:eastAsia="宋体" w:cs="Times New Roman"/>
          <w:color w:val="000000"/>
          <w:sz w:val="24"/>
        </w:rPr>
        <w:t>引领示范作用，展示优秀研究生奋发向上的精神风貌，</w:t>
      </w:r>
      <w:r>
        <w:rPr>
          <w:rFonts w:hint="eastAsia" w:ascii="Times New Roman" w:hAnsi="Times New Roman" w:eastAsia="宋体" w:cs="Times New Roman"/>
          <w:color w:val="000000"/>
          <w:sz w:val="24"/>
          <w:lang w:val="en-US" w:eastAsia="zh-Hans"/>
        </w:rPr>
        <w:t>现根据</w:t>
      </w:r>
      <w:r>
        <w:rPr>
          <w:rFonts w:hint="default" w:ascii="Times New Roman" w:hAnsi="Times New Roman" w:eastAsia="宋体" w:cs="Times New Roman"/>
          <w:color w:val="000000"/>
          <w:sz w:val="24"/>
          <w:lang w:eastAsia="zh-Hans"/>
        </w:rPr>
        <w:t>《</w:t>
      </w:r>
      <w:r>
        <w:rPr>
          <w:rFonts w:hint="eastAsia" w:ascii="Times New Roman" w:hAnsi="Times New Roman" w:eastAsia="宋体" w:cs="Times New Roman"/>
          <w:color w:val="000000"/>
          <w:sz w:val="24"/>
        </w:rPr>
        <w:t>上海师范大学2024年度研究生“优秀学生”“优秀学生干部”评选工作</w:t>
      </w:r>
      <w:r>
        <w:rPr>
          <w:rFonts w:hint="eastAsia" w:ascii="Times New Roman" w:hAnsi="Times New Roman" w:eastAsia="宋体" w:cs="Times New Roman"/>
          <w:color w:val="000000"/>
          <w:sz w:val="24"/>
          <w:lang w:val="en-US" w:eastAsia="zh-Hans"/>
        </w:rPr>
        <w:t>的通知</w:t>
      </w:r>
      <w:r>
        <w:rPr>
          <w:rFonts w:hint="default" w:ascii="Times New Roman" w:hAnsi="Times New Roman" w:eastAsia="宋体" w:cs="Times New Roman"/>
          <w:color w:val="000000"/>
          <w:sz w:val="24"/>
          <w:lang w:eastAsia="zh-Hans"/>
        </w:rPr>
        <w:t>》</w:t>
      </w:r>
      <w:r>
        <w:rPr>
          <w:rFonts w:hint="eastAsia" w:ascii="Times New Roman" w:hAnsi="Times New Roman" w:eastAsia="宋体" w:cs="Times New Roman"/>
          <w:color w:val="000000"/>
          <w:sz w:val="24"/>
          <w:lang w:val="en-US" w:eastAsia="zh-Hans"/>
        </w:rPr>
        <w:t>文件要求</w:t>
      </w:r>
      <w:r>
        <w:rPr>
          <w:rFonts w:hint="default" w:ascii="Times New Roman" w:hAnsi="Times New Roman" w:eastAsia="宋体" w:cs="Times New Roman"/>
          <w:color w:val="000000"/>
          <w:sz w:val="24"/>
          <w:lang w:eastAsia="zh-Hans"/>
        </w:rPr>
        <w:t>，</w:t>
      </w:r>
      <w:r>
        <w:rPr>
          <w:rFonts w:hint="eastAsia" w:ascii="Times New Roman" w:hAnsi="Times New Roman" w:eastAsia="宋体" w:cs="Times New Roman"/>
          <w:color w:val="000000"/>
          <w:sz w:val="24"/>
          <w:lang w:val="en-US" w:eastAsia="zh-CN"/>
        </w:rPr>
        <w:t>结合</w:t>
      </w:r>
      <w:r>
        <w:rPr>
          <w:rFonts w:hint="eastAsia" w:ascii="Times New Roman" w:hAnsi="Times New Roman" w:eastAsia="宋体" w:cs="Times New Roman"/>
          <w:color w:val="000000"/>
          <w:sz w:val="24"/>
        </w:rPr>
        <w:t>学院</w:t>
      </w:r>
      <w:r>
        <w:rPr>
          <w:rFonts w:hint="eastAsia" w:cs="Times New Roman"/>
          <w:color w:val="000000"/>
          <w:sz w:val="24"/>
          <w:lang w:val="en-US" w:eastAsia="zh-Hans"/>
        </w:rPr>
        <w:t>实际</w:t>
      </w:r>
      <w:r>
        <w:rPr>
          <w:rFonts w:hint="eastAsia" w:ascii="Times New Roman" w:hAnsi="Times New Roman" w:eastAsia="宋体" w:cs="Times New Roman"/>
          <w:color w:val="000000"/>
          <w:sz w:val="24"/>
        </w:rPr>
        <w:t>情况</w:t>
      </w:r>
      <w:r>
        <w:rPr>
          <w:rFonts w:hint="eastAsia" w:ascii="Times New Roman" w:hAnsi="Times New Roman" w:eastAsia="宋体" w:cs="Times New Roman"/>
          <w:color w:val="000000"/>
          <w:sz w:val="24"/>
          <w:lang w:val="en-US" w:eastAsia="zh-CN"/>
        </w:rPr>
        <w:t>制定本细则。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lang w:val="en-US" w:eastAsia="zh-CN"/>
        </w:rPr>
      </w:pPr>
    </w:p>
    <w:p>
      <w:pPr>
        <w:widowControl/>
        <w:snapToGrid w:val="0"/>
        <w:spacing w:line="360" w:lineRule="auto"/>
        <w:ind w:firstLine="482"/>
        <w:rPr>
          <w:rFonts w:hint="eastAsia" w:ascii="黑体" w:hAnsi="黑体" w:eastAsia="黑体"/>
          <w:b/>
          <w:color w:val="000000"/>
          <w:kern w:val="0"/>
          <w:sz w:val="24"/>
        </w:rPr>
      </w:pPr>
      <w:r>
        <w:rPr>
          <w:rFonts w:hint="eastAsia" w:ascii="黑体" w:hAnsi="黑体" w:eastAsia="黑体"/>
          <w:b/>
          <w:color w:val="000000"/>
          <w:kern w:val="0"/>
          <w:sz w:val="24"/>
        </w:rPr>
        <w:t>一、评选范围</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Hans"/>
        </w:rPr>
        <w:t>参评对象为上海退役军人学院</w:t>
      </w:r>
      <w:r>
        <w:rPr>
          <w:rFonts w:hint="eastAsia" w:ascii="宋体" w:hAnsi="宋体" w:eastAsia="宋体" w:cs="宋体"/>
          <w:color w:val="000000"/>
          <w:sz w:val="24"/>
        </w:rPr>
        <w:t>全日制非定向研究生</w:t>
      </w:r>
    </w:p>
    <w:p>
      <w:pPr>
        <w:snapToGrid w:val="0"/>
        <w:spacing w:line="360" w:lineRule="auto"/>
        <w:ind w:firstLine="480" w:firstLineChars="200"/>
        <w:rPr>
          <w:rFonts w:hint="eastAsia" w:ascii="宋体" w:hAnsi="宋体" w:eastAsia="宋体" w:cs="宋体"/>
          <w:color w:val="000000"/>
          <w:sz w:val="24"/>
        </w:rPr>
      </w:pPr>
    </w:p>
    <w:p>
      <w:pPr>
        <w:widowControl/>
        <w:snapToGrid w:val="0"/>
        <w:spacing w:line="360" w:lineRule="auto"/>
        <w:ind w:firstLine="482"/>
        <w:rPr>
          <w:rFonts w:hint="eastAsia" w:ascii="黑体" w:hAnsi="黑体" w:eastAsia="黑体"/>
          <w:b/>
          <w:color w:val="000000"/>
          <w:kern w:val="0"/>
          <w:sz w:val="24"/>
        </w:rPr>
      </w:pPr>
      <w:r>
        <w:rPr>
          <w:rFonts w:hint="eastAsia" w:ascii="黑体" w:hAnsi="黑体" w:eastAsia="黑体"/>
          <w:b/>
          <w:color w:val="000000"/>
          <w:kern w:val="0"/>
          <w:sz w:val="24"/>
        </w:rPr>
        <w:t>二、评选条件</w:t>
      </w:r>
    </w:p>
    <w:p>
      <w:pPr>
        <w:widowControl/>
        <w:snapToGrid w:val="0"/>
        <w:spacing w:line="360" w:lineRule="auto"/>
        <w:ind w:firstLine="480"/>
        <w:rPr>
          <w:rFonts w:ascii="宋体" w:hAnsi="宋体"/>
          <w:b/>
          <w:color w:val="000000"/>
          <w:kern w:val="0"/>
          <w:sz w:val="24"/>
        </w:rPr>
      </w:pPr>
      <w:r>
        <w:rPr>
          <w:b/>
          <w:color w:val="000000"/>
          <w:kern w:val="0"/>
          <w:sz w:val="24"/>
        </w:rPr>
        <w:t xml:space="preserve">1. </w:t>
      </w:r>
      <w:r>
        <w:rPr>
          <w:rFonts w:hint="eastAsia" w:ascii="宋体" w:hAnsi="宋体"/>
          <w:b/>
          <w:color w:val="000000"/>
          <w:kern w:val="0"/>
          <w:sz w:val="24"/>
        </w:rPr>
        <w:t>优秀学生：</w:t>
      </w:r>
    </w:p>
    <w:p>
      <w:pPr>
        <w:widowControl/>
        <w:snapToGrid w:val="0"/>
        <w:spacing w:line="360" w:lineRule="auto"/>
        <w:ind w:firstLine="482"/>
        <w:rPr>
          <w:rFonts w:ascii="宋体" w:hAnsi="宋体"/>
          <w:color w:val="000000"/>
          <w:kern w:val="0"/>
          <w:sz w:val="24"/>
        </w:rPr>
      </w:pPr>
      <w:r>
        <w:rPr>
          <w:rFonts w:hint="eastAsia" w:ascii="宋体" w:hAnsi="宋体"/>
          <w:color w:val="000000"/>
          <w:kern w:val="0"/>
          <w:sz w:val="24"/>
        </w:rPr>
        <w:t>（1）坚持党的领导，坚持正确的政治方向，坚定“四个自信”，爱国爱校，</w:t>
      </w:r>
      <w:bookmarkStart w:id="3" w:name="_GoBack"/>
      <w:r>
        <w:rPr>
          <w:rFonts w:hint="eastAsia" w:ascii="宋体" w:hAnsi="宋体"/>
          <w:color w:val="000000"/>
          <w:kern w:val="0"/>
          <w:sz w:val="24"/>
        </w:rPr>
        <w:t>自觉践行社会主义核心价值观。</w:t>
      </w:r>
    </w:p>
    <w:bookmarkEnd w:id="3"/>
    <w:p>
      <w:pPr>
        <w:widowControl/>
        <w:snapToGrid w:val="0"/>
        <w:spacing w:line="360" w:lineRule="auto"/>
        <w:ind w:firstLine="482"/>
        <w:rPr>
          <w:rFonts w:ascii="宋体" w:hAnsi="宋体" w:cs="宋体"/>
          <w:color w:val="000000"/>
          <w:sz w:val="24"/>
        </w:rPr>
      </w:pPr>
      <w:r>
        <w:rPr>
          <w:rFonts w:hint="eastAsia" w:ascii="宋体" w:hAnsi="宋体" w:cs="宋体"/>
          <w:color w:val="000000"/>
          <w:sz w:val="24"/>
        </w:rPr>
        <w:t>（2）模范遵守国家法律、法规和学校各项规章制度，有良好的思想品德修养，在校期间未受过纪律处分。</w:t>
      </w:r>
    </w:p>
    <w:p>
      <w:pPr>
        <w:widowControl/>
        <w:snapToGrid w:val="0"/>
        <w:spacing w:line="360" w:lineRule="auto"/>
        <w:ind w:firstLine="482"/>
        <w:rPr>
          <w:rFonts w:ascii="宋体" w:hAnsi="宋体" w:cs="宋体"/>
          <w:color w:val="000000"/>
          <w:sz w:val="24"/>
        </w:rPr>
      </w:pPr>
      <w:r>
        <w:rPr>
          <w:rFonts w:hint="eastAsia" w:ascii="宋体" w:hAnsi="宋体" w:cs="宋体"/>
          <w:color w:val="000000"/>
          <w:sz w:val="24"/>
        </w:rPr>
        <w:t>（3）尊敬师长、团结同学，热心各种校园文化活动、公益活动，积极参加社会实践活动，身心健康。</w:t>
      </w:r>
    </w:p>
    <w:p>
      <w:pPr>
        <w:widowControl/>
        <w:snapToGrid w:val="0"/>
        <w:spacing w:line="360" w:lineRule="auto"/>
        <w:ind w:firstLine="482"/>
        <w:rPr>
          <w:rFonts w:ascii="宋体" w:hAnsi="宋体" w:cs="宋体"/>
          <w:color w:val="000000"/>
          <w:sz w:val="24"/>
        </w:rPr>
      </w:pPr>
      <w:r>
        <w:rPr>
          <w:rFonts w:hint="eastAsia" w:ascii="宋体" w:hAnsi="宋体" w:cs="宋体"/>
          <w:color w:val="000000"/>
          <w:sz w:val="24"/>
        </w:rPr>
        <w:t>（4）学习勤奋，具有良好的学术道德和科研能力，成绩优良，学业成绩在本专业研究生中名列前茅。</w:t>
      </w:r>
    </w:p>
    <w:p>
      <w:pPr>
        <w:snapToGrid w:val="0"/>
        <w:spacing w:line="360" w:lineRule="auto"/>
        <w:ind w:firstLine="480" w:firstLineChars="200"/>
        <w:rPr>
          <w:rFonts w:ascii="宋体" w:hAnsi="宋体" w:cs="宋体"/>
          <w:b/>
          <w:color w:val="000000"/>
          <w:sz w:val="24"/>
        </w:rPr>
      </w:pPr>
    </w:p>
    <w:p>
      <w:pPr>
        <w:snapToGrid w:val="0"/>
        <w:spacing w:line="360" w:lineRule="auto"/>
        <w:ind w:firstLine="480" w:firstLineChars="200"/>
        <w:rPr>
          <w:rFonts w:ascii="宋体" w:hAnsi="宋体" w:cs="宋体"/>
          <w:b/>
          <w:color w:val="000000"/>
          <w:sz w:val="24"/>
        </w:rPr>
      </w:pPr>
      <w:r>
        <w:rPr>
          <w:rFonts w:hint="eastAsia" w:ascii="宋体" w:hAnsi="宋体" w:cs="宋体"/>
          <w:b/>
          <w:color w:val="000000"/>
          <w:sz w:val="24"/>
        </w:rPr>
        <w:t>2</w:t>
      </w:r>
      <w:r>
        <w:rPr>
          <w:rFonts w:ascii="宋体" w:hAnsi="宋体" w:cs="宋体"/>
          <w:b/>
          <w:color w:val="000000"/>
          <w:sz w:val="24"/>
        </w:rPr>
        <w:t>.</w:t>
      </w:r>
      <w:r>
        <w:rPr>
          <w:rFonts w:hint="eastAsia" w:ascii="宋体" w:hAnsi="宋体" w:cs="宋体"/>
          <w:b/>
          <w:color w:val="000000"/>
          <w:sz w:val="24"/>
        </w:rPr>
        <w:t>优秀学生干部</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除具备上述条件外，还需要有过学生干部的经历，一般应担任学生骨干满六个月（含），在组织和参与各类学生活动及志愿服务中表现突出。</w:t>
      </w:r>
    </w:p>
    <w:p>
      <w:pPr>
        <w:spacing w:line="360" w:lineRule="auto"/>
        <w:rPr>
          <w:b/>
          <w:color w:val="000000"/>
          <w:sz w:val="24"/>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sz w:val="24"/>
        </w:rPr>
      </w:pPr>
      <w:r>
        <w:rPr>
          <w:rFonts w:hint="eastAsia" w:ascii="黑体" w:hAnsi="黑体" w:eastAsia="黑体" w:cs="黑体"/>
          <w:b/>
          <w:color w:val="000000"/>
          <w:sz w:val="24"/>
          <w:lang w:val="en-US" w:eastAsia="zh-Hans"/>
        </w:rPr>
        <w:t>三</w:t>
      </w:r>
      <w:r>
        <w:rPr>
          <w:rFonts w:hint="default" w:ascii="黑体" w:hAnsi="黑体" w:eastAsia="黑体" w:cs="黑体"/>
          <w:b/>
          <w:color w:val="000000"/>
          <w:sz w:val="24"/>
          <w:lang w:eastAsia="zh-Hans"/>
        </w:rPr>
        <w:t>、</w:t>
      </w:r>
      <w:r>
        <w:rPr>
          <w:rFonts w:hint="eastAsia" w:ascii="黑体" w:hAnsi="黑体" w:eastAsia="黑体" w:cs="黑体"/>
          <w:b/>
          <w:color w:val="000000"/>
          <w:sz w:val="24"/>
          <w:lang w:val="en-US" w:eastAsia="zh-Hans"/>
        </w:rPr>
        <w:t>申报及</w:t>
      </w:r>
      <w:r>
        <w:rPr>
          <w:rFonts w:hint="eastAsia" w:ascii="黑体" w:hAnsi="黑体" w:eastAsia="黑体" w:cs="黑体"/>
          <w:b/>
          <w:color w:val="000000"/>
          <w:sz w:val="24"/>
        </w:rPr>
        <w:t>评选</w:t>
      </w:r>
      <w:r>
        <w:rPr>
          <w:rFonts w:hint="eastAsia" w:ascii="黑体" w:hAnsi="黑体" w:eastAsia="黑体" w:cs="黑体"/>
          <w:b/>
          <w:color w:val="000000"/>
          <w:sz w:val="24"/>
          <w:lang w:val="en-US" w:eastAsia="zh-Hans"/>
        </w:rPr>
        <w:t>内容</w:t>
      </w:r>
      <w:r>
        <w:rPr>
          <w:rFonts w:hint="eastAsia" w:ascii="黑体" w:hAnsi="黑体" w:eastAsia="黑体" w:cs="黑体"/>
          <w:b/>
          <w:color w:val="000000"/>
          <w:sz w:val="24"/>
        </w:rPr>
        <w:t xml:space="preserve"> </w:t>
      </w:r>
    </w:p>
    <w:p>
      <w:pPr>
        <w:snapToGrid w:val="0"/>
        <w:spacing w:line="360" w:lineRule="auto"/>
        <w:ind w:firstLine="480"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第一部分：科研</w:t>
      </w:r>
      <w:r>
        <w:rPr>
          <w:rFonts w:hint="eastAsia" w:ascii="宋体" w:hAnsi="宋体" w:eastAsia="宋体" w:cs="宋体"/>
          <w:b/>
          <w:bCs/>
          <w:color w:val="000000"/>
          <w:sz w:val="24"/>
          <w:lang w:val="en-US" w:eastAsia="zh-CN"/>
        </w:rPr>
        <w:t>水平</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学术著作类：</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以我校为完成单位的已公开发行的学术专著（以封面署名为准），第一作者计60分、第二作者计36分；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r>
        <w:rPr>
          <w:rFonts w:hint="eastAsia" w:ascii="宋体" w:hAnsi="宋体" w:eastAsia="宋体" w:cs="宋体"/>
          <w:color w:val="000000"/>
          <w:sz w:val="24"/>
        </w:rPr>
        <w:t>以我校为完成单位的已公开发行的学术编著、译著（以封面署名为准），第一作者计40分，第二作者计24分；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r>
        <w:rPr>
          <w:rFonts w:hint="eastAsia" w:ascii="宋体" w:hAnsi="宋体" w:eastAsia="宋体" w:cs="宋体"/>
          <w:color w:val="000000"/>
          <w:sz w:val="24"/>
        </w:rPr>
        <w:t>参与以我校为完成单位的已发行的学术著作的撰写2万字以上者，每部著作计10分；1万字以上者，每部著作计6分。学术译著及教材撰写2万字以上者，每部著作计6分；1万字以上者，每部著作计3分。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（注：第3点中涉及的著作，其署名或致谢中均必须出现学生姓名。参与著作整章撰写，需提供相关著作原件和复印件，注明好字数，按实际字数计算；若参与到部分段落撰写，请再提供导师开具的字数证明）</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说明：所有学术著作以最终出版为准，出版证明等不得作为参评成果。</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学术论文类：</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学术杂志</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篇幅需4000字以上，低于4000字，以4000字为100%，按比例减分。2000字以下参照报刊文章。需在提供的材料上写明具体字数（注：字数以最终发表的论文在Word页面左底部显示的字数为准），学术杂志等级以文章发表日期为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以我校为第一完成单位国内外权威核心期刊（SCI、EI收录、SSCI、CSSCI）上正式发表的专业学术论文的第一作者，A类论文每篇计80分，B类论文每篇计60分，C类论文每篇计40分（A、B、C类划分标准按照学校科研奖励条例执行）。</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2）以我校为第一完成单位在CSSCI扩展版发表专业学术论文，每篇计20分。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3）以我校为第一完成单位在北大核心期刊发表专业学术论文，每篇计15分。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4）以我校为第一完成单位在非权威核心公开刊物上正式发表的专业学术论文每篇计10分，此项累计不超过20分。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5）若该论文系翻译类或访谈类文章按该级别的30%计算，累计不超过3篇。</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说明：</w:t>
      </w:r>
      <w:r>
        <w:rPr>
          <w:rFonts w:ascii="宋体" w:hAnsi="宋体" w:eastAsia="宋体" w:cs="宋体"/>
          <w:color w:val="000000"/>
          <w:sz w:val="24"/>
        </w:rPr>
        <w:t>如果导师为第一作者，学生为第二作者，该学生按文章60%计分；如果第一作者和第二作者都是学生，第一作者按文章60%计分，第二作者按40%计分；共同第一作者均分该文章分数；学生通讯作者与第一作者均分该文章分数。</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报刊文章：</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 学术文章发表于人民日报、光明日报、解放日报、文汇报、中国教育报的理论学术版，且文中显现作者名和以“上海师范大学”</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上海退役军人学院</w:t>
      </w:r>
      <w:r>
        <w:rPr>
          <w:rFonts w:hint="eastAsia" w:ascii="宋体" w:hAnsi="宋体" w:eastAsia="宋体" w:cs="宋体"/>
          <w:color w:val="000000"/>
          <w:sz w:val="24"/>
          <w:lang w:eastAsia="zh-CN"/>
        </w:rPr>
        <w:t>”</w:t>
      </w:r>
      <w:r>
        <w:rPr>
          <w:rFonts w:hint="eastAsia" w:ascii="宋体" w:hAnsi="宋体" w:eastAsia="宋体" w:cs="宋体"/>
          <w:color w:val="000000"/>
          <w:sz w:val="24"/>
        </w:rPr>
        <w:t>为单位署名投稿，篇幅2000字以上，第一作者每篇计15分，第二作者每篇计7分；篇幅1000-2000字，第一作者每篇计7分，第二作者每篇计3分。此项累积不超过25分。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2）学术文章发表于人民日报、光明日报、解放日报、文汇报、中国教育报</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除</w:t>
      </w:r>
      <w:r>
        <w:rPr>
          <w:rFonts w:hint="eastAsia" w:ascii="宋体" w:hAnsi="宋体" w:eastAsia="宋体" w:cs="宋体"/>
          <w:color w:val="000000"/>
          <w:sz w:val="24"/>
        </w:rPr>
        <w:t>理论学术</w:t>
      </w:r>
      <w:r>
        <w:rPr>
          <w:rFonts w:hint="eastAsia" w:ascii="宋体" w:hAnsi="宋体" w:eastAsia="宋体" w:cs="宋体"/>
          <w:color w:val="000000"/>
          <w:sz w:val="24"/>
          <w:lang w:val="en-US" w:eastAsia="zh-CN"/>
        </w:rPr>
        <w:t>之外的其他版</w:t>
      </w:r>
      <w:r>
        <w:rPr>
          <w:rFonts w:hint="eastAsia" w:ascii="宋体" w:hAnsi="宋体" w:eastAsia="宋体" w:cs="宋体"/>
          <w:color w:val="000000"/>
          <w:sz w:val="24"/>
          <w:lang w:eastAsia="zh-CN"/>
        </w:rPr>
        <w:t>）</w:t>
      </w:r>
      <w:r>
        <w:rPr>
          <w:rFonts w:hint="eastAsia" w:ascii="宋体" w:hAnsi="宋体" w:eastAsia="宋体" w:cs="宋体"/>
          <w:color w:val="000000"/>
          <w:sz w:val="24"/>
        </w:rPr>
        <w:t>且文中显现作者名和以“上海师范大学”</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上海退役军人学院</w:t>
      </w:r>
      <w:r>
        <w:rPr>
          <w:rFonts w:hint="eastAsia" w:ascii="宋体" w:hAnsi="宋体" w:eastAsia="宋体" w:cs="宋体"/>
          <w:color w:val="000000"/>
          <w:sz w:val="24"/>
          <w:lang w:eastAsia="zh-CN"/>
        </w:rPr>
        <w:t>”</w:t>
      </w:r>
      <w:r>
        <w:rPr>
          <w:rFonts w:hint="eastAsia" w:ascii="宋体" w:hAnsi="宋体" w:eastAsia="宋体" w:cs="宋体"/>
          <w:color w:val="000000"/>
          <w:sz w:val="24"/>
        </w:rPr>
        <w:t>为单位署名投稿，篇幅2000字以上，第一作者每篇计10分，第二作者每篇计5分；篇幅1000-2000字，第一作者每篇计5分，第二作者每篇计2分。此项累积不超过20分。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r>
        <w:rPr>
          <w:rFonts w:hint="eastAsia" w:ascii="宋体" w:hAnsi="宋体" w:eastAsia="宋体" w:cs="宋体"/>
          <w:color w:val="000000"/>
          <w:sz w:val="24"/>
        </w:rPr>
        <w:t>会议论文：</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）正式参加重大学术年会并作为交流发言代表的学术文章计5分。（需出示年会主办方提供的相关发言证明照片并加盖公章或提供本人发言情况属实的导师证明）,此项累积不超过10分。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2）论文集收录，每篇计3分（论文摘要收录不算分），此项累计不超过6分。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科研项目类：</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参与以我校（院）为申请单位的各类课题的课题组成员（以立项成功的项目申报书上显见署名为准，一并提供项目立项通知书或立项成功公示证明）,国家级课题，计7分，省部级课题，计5分，教委级课题，计3分，参与学生均分该项目分数。</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r>
        <w:rPr>
          <w:rFonts w:hint="eastAsia" w:ascii="宋体" w:hAnsi="宋体" w:eastAsia="宋体" w:cs="宋体"/>
          <w:color w:val="000000"/>
          <w:sz w:val="24"/>
        </w:rPr>
        <w:t>获得“我校大学生科研论文、科研项目立项申报”科研项目立项重点级别的第一负责人计5分，合作完成计3分；一般级别第一负责人计3分，合作完成计1分。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r>
        <w:rPr>
          <w:rFonts w:hint="eastAsia" w:ascii="宋体" w:hAnsi="宋体" w:eastAsia="宋体" w:cs="宋体"/>
          <w:color w:val="000000"/>
          <w:sz w:val="24"/>
        </w:rPr>
        <w:t>获得“我校研究生学术沙龙科研立项”A类级别的第一负责人计5分，合作完成计3分；B类级别的第一负责人计4分，合作完成计2分；C类级别的第一负责人计3分，合作完成计1分。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发明专利类：</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发明类专利每项计5分，需提供证明材料电子版或截图。</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竞赛奖项类（学术类）：</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各类获奖计分如下表，所有奖项均以证书为依据。</w:t>
      </w:r>
    </w:p>
    <w:tbl>
      <w:tblPr>
        <w:tblStyle w:val="2"/>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6"/>
        <w:gridCol w:w="1046"/>
        <w:gridCol w:w="1250"/>
        <w:gridCol w:w="1250"/>
        <w:gridCol w:w="1250"/>
        <w:gridCol w:w="26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61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ind w:firstLine="480" w:firstLineChars="200"/>
              <w:jc w:val="center"/>
              <w:rPr>
                <w:rFonts w:ascii="宋体" w:hAnsi="宋体" w:eastAsia="宋体" w:cs="宋体"/>
                <w:color w:val="000000"/>
                <w:sz w:val="24"/>
              </w:rPr>
            </w:pPr>
          </w:p>
        </w:tc>
        <w:tc>
          <w:tcPr>
            <w:tcW w:w="61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国家级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市级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校级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院级</w:t>
            </w:r>
          </w:p>
        </w:tc>
        <w:tc>
          <w:tcPr>
            <w:tcW w:w="156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社会团体或专业学会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特等奖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80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40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一等奖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40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二等奖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25</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12</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三等奖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w:t>
            </w:r>
          </w:p>
        </w:tc>
      </w:tr>
    </w:tbl>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备注：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国家级、市级获奖证书上的授予单位需为政府机构。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授予单位为社会团体或专业学会类的上限为10分。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全国大学生“挑战杯”赛、全国“互联网+”大学生创新创业大赛、全国大学生（研究生）数学建模竞赛、中国研究生电子设计竞赛、全国大学生“飞思卡尔杯”智能汽车竞赛按国家级获奖加分；上海市大学生社会实践大赛（知行杯）按市级获奖加分；全国大学生英语竞赛（NECCS）属于学科竞赛按市级获奖加分。以上七项获奖按表格原分数乘以1.5的系数之后再计算得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团体类奖项成员个人得分比例按奖项得分/获奖人数计算。</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附加说明：</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同一学术成果按最高级别计分，不重复加分。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以上所有成果或奖励须为申请者在读期间获得（与申请奖项层次对应）,科研成果作者第一单位必须为上海师范大学</w:t>
      </w:r>
      <w:r>
        <w:rPr>
          <w:rFonts w:hint="eastAsia" w:ascii="宋体" w:hAnsi="宋体" w:eastAsia="宋体" w:cs="宋体"/>
          <w:color w:val="000000"/>
          <w:sz w:val="24"/>
          <w:lang w:val="en-US" w:eastAsia="zh-CN"/>
        </w:rPr>
        <w:t>或上海退役军人学院</w:t>
      </w:r>
      <w:r>
        <w:rPr>
          <w:rFonts w:hint="eastAsia" w:ascii="宋体" w:hAnsi="宋体" w:eastAsia="宋体" w:cs="宋体"/>
          <w:color w:val="000000"/>
          <w:sz w:val="24"/>
        </w:rPr>
        <w:t>。</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申报者所有科研成果均为已公开发行，学术成果提供佐证材料中包括（有刊号封面、目录、正文截图及原稿文件）。</w:t>
      </w:r>
    </w:p>
    <w:p>
      <w:pPr>
        <w:snapToGrid w:val="0"/>
        <w:spacing w:line="360" w:lineRule="auto"/>
        <w:ind w:firstLine="480" w:firstLineChars="200"/>
        <w:rPr>
          <w:rFonts w:ascii="宋体" w:hAnsi="宋体" w:eastAsia="宋体" w:cs="宋体"/>
          <w:color w:val="000000"/>
          <w:sz w:val="24"/>
        </w:rPr>
      </w:pPr>
      <w:bookmarkStart w:id="0" w:name="OLE_LINK3"/>
      <w:bookmarkStart w:id="1" w:name="OLE_LINK1"/>
      <w:bookmarkStart w:id="2" w:name="OLE_LINK2"/>
      <w:r>
        <w:rPr>
          <w:rFonts w:hint="eastAsia" w:ascii="宋体" w:hAnsi="宋体" w:eastAsia="宋体" w:cs="宋体"/>
          <w:color w:val="000000"/>
          <w:sz w:val="24"/>
          <w:lang w:val="en-US" w:eastAsia="zh-CN"/>
        </w:rPr>
        <w:t>（4）</w:t>
      </w:r>
      <w:r>
        <w:rPr>
          <w:rFonts w:hint="eastAsia" w:ascii="宋体" w:hAnsi="宋体" w:eastAsia="宋体" w:cs="宋体"/>
          <w:color w:val="000000"/>
          <w:sz w:val="24"/>
        </w:rPr>
        <w:t>文科类用稿通知不作为加分项，理科类先行用稿不作为加分项</w:t>
      </w:r>
      <w:bookmarkEnd w:id="0"/>
      <w:bookmarkEnd w:id="1"/>
      <w:bookmarkEnd w:id="2"/>
      <w:r>
        <w:rPr>
          <w:rFonts w:hint="eastAsia" w:ascii="宋体" w:hAnsi="宋体" w:eastAsia="宋体" w:cs="宋体"/>
          <w:color w:val="000000"/>
          <w:sz w:val="24"/>
        </w:rPr>
        <w:t>。</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若有其他特殊情况，由院研究生学业奖学金评审委员会最终审核决定。</w:t>
      </w:r>
    </w:p>
    <w:p>
      <w:pPr>
        <w:snapToGrid w:val="0"/>
        <w:spacing w:line="360" w:lineRule="auto"/>
        <w:ind w:firstLine="480" w:firstLineChars="200"/>
        <w:rPr>
          <w:rFonts w:ascii="宋体" w:hAnsi="宋体" w:eastAsia="宋体" w:cs="宋体"/>
          <w:b/>
          <w:bCs/>
          <w:color w:val="000000"/>
          <w:sz w:val="24"/>
        </w:rPr>
      </w:pPr>
      <w:r>
        <w:rPr>
          <w:rFonts w:hint="eastAsia" w:ascii="宋体" w:hAnsi="宋体" w:eastAsia="宋体" w:cs="宋体"/>
          <w:b/>
          <w:bCs/>
          <w:color w:val="000000"/>
          <w:sz w:val="24"/>
        </w:rPr>
        <w:t>第二部分：综合素质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学习成绩：</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本学年所有课程初试成绩不低于80分，计</w:t>
      </w:r>
      <w:r>
        <w:rPr>
          <w:rFonts w:ascii="宋体" w:hAnsi="宋体" w:eastAsia="宋体" w:cs="宋体"/>
          <w:color w:val="000000"/>
          <w:sz w:val="24"/>
        </w:rPr>
        <w:t>10</w:t>
      </w:r>
      <w:r>
        <w:rPr>
          <w:rFonts w:hint="eastAsia" w:ascii="宋体" w:hAnsi="宋体" w:eastAsia="宋体" w:cs="宋体"/>
          <w:color w:val="000000"/>
          <w:sz w:val="24"/>
        </w:rPr>
        <w:t>分；初试成绩有1门低于80分，计8分；初试成绩有2门及以上低于80分，不计分。需本人提供成绩单打印件，并请教务办签字确认。</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注：以上课程英语口语及计算机除外。</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竞赛奖项类（非学术类）：</w:t>
      </w:r>
      <w:r>
        <w:rPr>
          <w:rFonts w:ascii="宋体" w:hAnsi="宋体" w:eastAsia="宋体" w:cs="宋体"/>
          <w:color w:val="000000"/>
          <w:sz w:val="24"/>
        </w:rPr>
        <w:t xml:space="preserve"> </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各类获奖计分如下表，所有奖项均以证书为依据。</w:t>
      </w:r>
    </w:p>
    <w:tbl>
      <w:tblPr>
        <w:tblStyle w:val="2"/>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6"/>
        <w:gridCol w:w="1046"/>
        <w:gridCol w:w="1250"/>
        <w:gridCol w:w="1250"/>
        <w:gridCol w:w="1250"/>
        <w:gridCol w:w="2669"/>
      </w:tblGrid>
      <w:tr>
        <w:trPr>
          <w:trHeight w:val="480" w:hRule="atLeast"/>
          <w:jc w:val="center"/>
        </w:trPr>
        <w:tc>
          <w:tcPr>
            <w:tcW w:w="61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ind w:firstLine="480" w:firstLineChars="200"/>
              <w:jc w:val="center"/>
              <w:rPr>
                <w:rFonts w:ascii="宋体" w:hAnsi="宋体" w:eastAsia="宋体" w:cs="宋体"/>
                <w:color w:val="000000"/>
                <w:sz w:val="24"/>
              </w:rPr>
            </w:pPr>
          </w:p>
        </w:tc>
        <w:tc>
          <w:tcPr>
            <w:tcW w:w="61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国家级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市级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校级</w:t>
            </w:r>
          </w:p>
        </w:tc>
        <w:tc>
          <w:tcPr>
            <w:tcW w:w="734"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院级</w:t>
            </w:r>
          </w:p>
        </w:tc>
        <w:tc>
          <w:tcPr>
            <w:tcW w:w="156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社会团体或专业学会</w:t>
            </w:r>
          </w:p>
        </w:tc>
      </w:tr>
      <w:tr>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特等奖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10</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7</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4</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p>
        </w:tc>
      </w:tr>
      <w:tr>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一等奖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9</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0.8</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w:t>
            </w:r>
          </w:p>
        </w:tc>
      </w:tr>
      <w:tr>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二等奖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8</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5</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2</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0.6</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r>
      <w:tr>
        <w:trPr>
          <w:trHeight w:val="480" w:hRule="atLeast"/>
          <w:jc w:val="center"/>
        </w:trPr>
        <w:tc>
          <w:tcPr>
            <w:tcW w:w="6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三等奖</w:t>
            </w:r>
          </w:p>
        </w:tc>
        <w:tc>
          <w:tcPr>
            <w:tcW w:w="61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7</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4</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734"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0.4</w:t>
            </w:r>
          </w:p>
        </w:tc>
        <w:tc>
          <w:tcPr>
            <w:tcW w:w="1567" w:type="pct"/>
            <w:tcBorders>
              <w:top w:val="nil"/>
              <w:left w:val="nil"/>
              <w:bottom w:val="single" w:color="000000" w:sz="6" w:space="0"/>
              <w:right w:val="single" w:color="000000" w:sz="6" w:space="0"/>
            </w:tcBorders>
            <w:shd w:val="clear" w:color="auto" w:fill="auto"/>
            <w:tcMar>
              <w:left w:w="105" w:type="dxa"/>
              <w:right w:w="105" w:type="dxa"/>
            </w:tcMar>
            <w:vAlign w:val="center"/>
          </w:tcPr>
          <w:p>
            <w:pPr>
              <w:snapToGrid w:val="0"/>
              <w:spacing w:line="360"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0.5</w:t>
            </w:r>
          </w:p>
        </w:tc>
      </w:tr>
    </w:tbl>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备注：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国家级、市级获奖证书上的授予单位需为政府机构。</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授予单位为社会团体或专业学会类的上限为</w:t>
      </w:r>
      <w:r>
        <w:rPr>
          <w:rFonts w:hint="eastAsia" w:ascii="宋体" w:hAnsi="宋体" w:eastAsia="宋体" w:cs="宋体"/>
          <w:color w:val="000000"/>
          <w:sz w:val="24"/>
          <w:lang w:val="en-US" w:eastAsia="zh-CN"/>
        </w:rPr>
        <w:t>2</w:t>
      </w:r>
      <w:r>
        <w:rPr>
          <w:rFonts w:hint="eastAsia" w:ascii="宋体" w:hAnsi="宋体" w:eastAsia="宋体" w:cs="宋体"/>
          <w:color w:val="000000"/>
          <w:sz w:val="24"/>
        </w:rPr>
        <w:t>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以上所有奖励必须申请者在读期间获得（与申请奖项层次对应）,第一单位必须为上海师范大学</w:t>
      </w:r>
      <w:r>
        <w:rPr>
          <w:rFonts w:hint="eastAsia" w:ascii="宋体" w:hAnsi="宋体" w:eastAsia="宋体" w:cs="宋体"/>
          <w:color w:val="000000"/>
          <w:sz w:val="24"/>
          <w:lang w:val="en-US" w:eastAsia="zh-CN"/>
        </w:rPr>
        <w:t>或上海退役军人学院</w:t>
      </w:r>
      <w:r>
        <w:rPr>
          <w:rFonts w:hint="eastAsia" w:ascii="宋体" w:hAnsi="宋体" w:eastAsia="宋体" w:cs="宋体"/>
          <w:color w:val="000000"/>
          <w:sz w:val="24"/>
        </w:rPr>
        <w:t>。</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团体类奖项成员个人得分比例按奖项得分/获奖人数计算。若有其他特殊情况，由院研究生学业奖学金评审委员会最终审核决定。</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获得</w:t>
      </w:r>
      <w:r>
        <w:rPr>
          <w:rFonts w:hint="eastAsia" w:ascii="宋体" w:hAnsi="宋体" w:eastAsia="宋体" w:cs="宋体"/>
          <w:color w:val="000000"/>
          <w:sz w:val="24"/>
          <w:lang w:val="en-US" w:eastAsia="zh-CN"/>
        </w:rPr>
        <w:t>上海退役军人学院</w:t>
      </w:r>
      <w:r>
        <w:rPr>
          <w:rFonts w:hint="eastAsia" w:ascii="宋体" w:hAnsi="宋体" w:eastAsia="宋体" w:cs="宋体"/>
          <w:color w:val="000000"/>
          <w:sz w:val="24"/>
        </w:rPr>
        <w:t>团体类奖项（如迎新晚会、优秀班级奖、班歌大赛等）凭借获奖证书照片按照以下计分方式加分：</w:t>
      </w:r>
    </w:p>
    <w:tbl>
      <w:tblPr>
        <w:tblStyle w:val="2"/>
        <w:tblW w:w="6379"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8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969" w:type="dxa"/>
            <w:vAlign w:val="center"/>
          </w:tcPr>
          <w:p>
            <w:pPr>
              <w:snapToGrid w:val="0"/>
              <w:spacing w:line="360" w:lineRule="auto"/>
              <w:ind w:firstLine="480" w:firstLineChars="200"/>
              <w:jc w:val="center"/>
              <w:rPr>
                <w:rFonts w:ascii="宋体" w:hAnsi="宋体" w:eastAsia="宋体" w:cs="宋体"/>
                <w:color w:val="000000"/>
                <w:sz w:val="24"/>
              </w:rPr>
            </w:pPr>
          </w:p>
        </w:tc>
        <w:tc>
          <w:tcPr>
            <w:tcW w:w="1583"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一等奖</w:t>
            </w:r>
          </w:p>
        </w:tc>
        <w:tc>
          <w:tcPr>
            <w:tcW w:w="1843"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二等奖</w:t>
            </w:r>
          </w:p>
        </w:tc>
        <w:tc>
          <w:tcPr>
            <w:tcW w:w="1984"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969"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院级</w:t>
            </w:r>
          </w:p>
        </w:tc>
        <w:tc>
          <w:tcPr>
            <w:tcW w:w="1583"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0.3</w:t>
            </w:r>
          </w:p>
        </w:tc>
        <w:tc>
          <w:tcPr>
            <w:tcW w:w="1843"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0.2</w:t>
            </w:r>
          </w:p>
        </w:tc>
        <w:tc>
          <w:tcPr>
            <w:tcW w:w="1984" w:type="dxa"/>
            <w:vAlign w:val="center"/>
          </w:tcPr>
          <w:p>
            <w:pPr>
              <w:snapToGrid w:val="0"/>
              <w:spacing w:line="360" w:lineRule="auto"/>
              <w:jc w:val="center"/>
              <w:rPr>
                <w:rFonts w:ascii="宋体" w:hAnsi="宋体" w:eastAsia="宋体" w:cs="宋体"/>
                <w:color w:val="000000"/>
                <w:sz w:val="24"/>
              </w:rPr>
            </w:pPr>
            <w:r>
              <w:rPr>
                <w:rFonts w:hint="eastAsia" w:ascii="宋体" w:hAnsi="宋体" w:eastAsia="宋体" w:cs="宋体"/>
                <w:color w:val="000000"/>
                <w:sz w:val="24"/>
              </w:rPr>
              <w:t>0.1</w:t>
            </w:r>
          </w:p>
        </w:tc>
      </w:tr>
    </w:tbl>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公益活动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读研期间参加学校组织的义务献血加5分，可以累加两次，需提供献血证电子版或照片。</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读研期间捐献骨髓者加20分，需提供捐献成功相关证明。</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社会实践</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正式参与市级及以上志愿者活动，加5分，需提供证明材料照片。（注：公章以政府机构部门盖章为准，此项累计不超过10分）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 xml:space="preserve">（2） </w:t>
      </w:r>
      <w:r>
        <w:rPr>
          <w:rFonts w:hint="eastAsia" w:ascii="宋体" w:hAnsi="宋体" w:eastAsia="宋体" w:cs="宋体"/>
          <w:color w:val="000000"/>
          <w:sz w:val="24"/>
        </w:rPr>
        <w:t>在</w:t>
      </w:r>
      <w:r>
        <w:rPr>
          <w:rFonts w:hint="eastAsia" w:ascii="宋体" w:hAnsi="宋体" w:eastAsia="宋体" w:cs="宋体"/>
          <w:color w:val="000000"/>
          <w:sz w:val="24"/>
          <w:lang w:val="en-US" w:eastAsia="zh-CN"/>
        </w:rPr>
        <w:t>发生突发应急情况时</w:t>
      </w:r>
      <w:r>
        <w:rPr>
          <w:rFonts w:hint="eastAsia" w:ascii="宋体" w:hAnsi="宋体" w:eastAsia="宋体" w:cs="宋体"/>
          <w:color w:val="000000"/>
          <w:sz w:val="24"/>
        </w:rPr>
        <w:t>有突出表现，加5分。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各类服务</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校院研会成员</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主席团   计9分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部长     计6分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干事     计3分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园区学生干部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楼长     计7分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层长     计5分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寝室长   计3分</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班级干部</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班长     计7分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党支书   计7分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团支书   计5分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其他班委 计3分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其他</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高校兼职辅导员   计10分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学生助理 </w:t>
      </w:r>
      <w:r>
        <w:rPr>
          <w:rFonts w:ascii="宋体" w:hAnsi="宋体" w:eastAsia="宋体" w:cs="宋体"/>
          <w:color w:val="000000"/>
          <w:sz w:val="24"/>
        </w:rPr>
        <w:t xml:space="preserve">        </w:t>
      </w:r>
      <w:r>
        <w:rPr>
          <w:rFonts w:hint="eastAsia" w:ascii="宋体" w:hAnsi="宋体" w:eastAsia="宋体" w:cs="宋体"/>
          <w:color w:val="000000"/>
          <w:sz w:val="24"/>
        </w:rPr>
        <w:t>计5分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社团社长 </w:t>
      </w:r>
      <w:r>
        <w:rPr>
          <w:rFonts w:ascii="宋体" w:hAnsi="宋体" w:eastAsia="宋体" w:cs="宋体"/>
          <w:color w:val="000000"/>
          <w:sz w:val="24"/>
        </w:rPr>
        <w:t xml:space="preserve">        </w:t>
      </w:r>
      <w:r>
        <w:rPr>
          <w:rFonts w:hint="eastAsia" w:ascii="宋体" w:hAnsi="宋体" w:eastAsia="宋体" w:cs="宋体"/>
          <w:color w:val="000000"/>
          <w:sz w:val="24"/>
        </w:rPr>
        <w:t>计5分</w:t>
      </w:r>
    </w:p>
    <w:p>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说明：</w:t>
      </w:r>
    </w:p>
    <w:p>
      <w:pPr>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 xml:space="preserve"> 出现学术不端、申报材料弄虚作假，或恶意诋毁他人、非法取闹等情况，取消参评资格。</w:t>
      </w:r>
    </w:p>
    <w:p>
      <w:pPr>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 xml:space="preserve">2. </w:t>
      </w:r>
      <w:r>
        <w:rPr>
          <w:rFonts w:hint="eastAsia" w:ascii="宋体" w:hAnsi="宋体" w:eastAsia="宋体" w:cs="宋体"/>
          <w:color w:val="000000"/>
          <w:sz w:val="24"/>
        </w:rPr>
        <w:t>任职期限不满三个月的（证明材料上写明任职时间），不予计分。</w:t>
      </w:r>
    </w:p>
    <w:p>
      <w:pPr>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 xml:space="preserve">3. </w:t>
      </w:r>
      <w:r>
        <w:rPr>
          <w:rFonts w:hint="eastAsia" w:ascii="宋体" w:hAnsi="宋体" w:eastAsia="宋体" w:cs="宋体"/>
          <w:color w:val="000000"/>
          <w:sz w:val="24"/>
        </w:rPr>
        <w:t>评选者本学年使用违章电器一次扣10分，两次及以上取消评审资格；宿舍卫生平均分不合格，取消评审资格。</w:t>
      </w:r>
    </w:p>
    <w:p>
      <w:pPr>
        <w:snapToGrid w:val="0"/>
        <w:spacing w:line="360" w:lineRule="auto"/>
        <w:ind w:firstLine="480" w:firstLineChars="200"/>
        <w:rPr>
          <w:rFonts w:hint="eastAsia" w:ascii="宋体" w:hAnsi="宋体" w:eastAsia="宋体" w:cs="宋体"/>
          <w:color w:val="000000"/>
          <w:sz w:val="24"/>
        </w:rPr>
      </w:pPr>
      <w:r>
        <w:rPr>
          <w:rFonts w:ascii="宋体" w:hAnsi="宋体" w:eastAsia="宋体" w:cs="宋体"/>
          <w:color w:val="000000"/>
          <w:sz w:val="24"/>
        </w:rPr>
        <w:t xml:space="preserve">4. </w:t>
      </w:r>
      <w:r>
        <w:rPr>
          <w:rFonts w:hint="eastAsia" w:ascii="宋体" w:hAnsi="宋体" w:eastAsia="宋体" w:cs="宋体"/>
          <w:color w:val="000000"/>
          <w:sz w:val="24"/>
        </w:rPr>
        <w:t>此项每一类别就高加分，不同类别可累计加分，总分不超过30分。</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5. 所有加分材料都需提供相应佐证材料，逾期不办理。 </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 本细则解释权归</w:t>
      </w:r>
      <w:r>
        <w:rPr>
          <w:rFonts w:hint="eastAsia" w:ascii="宋体" w:hAnsi="宋体" w:eastAsia="宋体" w:cs="宋体"/>
          <w:color w:val="000000"/>
          <w:sz w:val="24"/>
          <w:lang w:val="en-US" w:eastAsia="zh-CN"/>
        </w:rPr>
        <w:t>上海退役军人学院</w:t>
      </w:r>
      <w:r>
        <w:rPr>
          <w:rFonts w:hint="eastAsia" w:ascii="宋体" w:hAnsi="宋体" w:eastAsia="宋体" w:cs="宋体"/>
          <w:color w:val="000000"/>
          <w:sz w:val="24"/>
        </w:rPr>
        <w:t>评审委员会。</w:t>
      </w:r>
    </w:p>
    <w:p>
      <w:pPr>
        <w:snapToGrid w:val="0"/>
        <w:spacing w:line="360" w:lineRule="auto"/>
        <w:ind w:firstLine="480" w:firstLineChars="200"/>
        <w:rPr>
          <w:rFonts w:hint="eastAsia" w:ascii="宋体" w:hAnsi="宋体" w:eastAsia="宋体" w:cs="宋体"/>
          <w:color w:val="000000"/>
          <w:sz w:val="24"/>
        </w:rPr>
      </w:pPr>
    </w:p>
    <w:p>
      <w:pPr>
        <w:snapToGrid w:val="0"/>
        <w:spacing w:line="360" w:lineRule="auto"/>
        <w:ind w:firstLine="480" w:firstLineChars="200"/>
        <w:rPr>
          <w:rFonts w:hint="eastAsia" w:ascii="宋体" w:hAnsi="宋体" w:eastAsia="宋体" w:cs="宋体"/>
          <w:color w:val="000000"/>
          <w:sz w:val="24"/>
        </w:rPr>
      </w:pPr>
    </w:p>
    <w:p>
      <w:pPr>
        <w:spacing w:line="360" w:lineRule="auto"/>
        <w:jc w:val="right"/>
        <w:rPr>
          <w:rFonts w:hint="eastAsia"/>
          <w:color w:val="000000"/>
          <w:sz w:val="24"/>
          <w:lang w:val="en-US" w:eastAsia="zh-Hans"/>
        </w:rPr>
      </w:pPr>
      <w:r>
        <w:rPr>
          <w:rFonts w:hint="eastAsia"/>
          <w:color w:val="000000"/>
          <w:sz w:val="24"/>
          <w:lang w:val="en-US" w:eastAsia="zh-Hans"/>
        </w:rPr>
        <w:t>上海退役军人学院</w:t>
      </w:r>
    </w:p>
    <w:p>
      <w:pPr>
        <w:spacing w:line="360" w:lineRule="auto"/>
        <w:jc w:val="right"/>
        <w:rPr>
          <w:rFonts w:hint="eastAsia"/>
          <w:color w:val="000000"/>
        </w:rPr>
      </w:pPr>
      <w:r>
        <w:rPr>
          <w:rFonts w:hint="eastAsia"/>
          <w:color w:val="000000"/>
          <w:sz w:val="24"/>
        </w:rPr>
        <w:t>2</w:t>
      </w:r>
      <w:r>
        <w:rPr>
          <w:color w:val="000000"/>
          <w:sz w:val="24"/>
        </w:rPr>
        <w:t>0</w:t>
      </w:r>
      <w:r>
        <w:rPr>
          <w:rFonts w:hint="eastAsia"/>
          <w:color w:val="000000"/>
          <w:sz w:val="24"/>
        </w:rPr>
        <w:t>24年11月2</w:t>
      </w:r>
      <w:r>
        <w:rPr>
          <w:rFonts w:hint="default"/>
          <w:color w:val="000000"/>
          <w:sz w:val="24"/>
        </w:rPr>
        <w:t>1</w:t>
      </w:r>
      <w:r>
        <w:rPr>
          <w:rFonts w:hint="eastAsia"/>
          <w:color w:val="00000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E3065"/>
    <w:rsid w:val="73FE3065"/>
    <w:rsid w:val="78AEBB7D"/>
    <w:rsid w:val="B7FF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2024-11-22T10:29:00Z</dcterms:created>
  <dc:creator>包子君。</dc:creator>
  <cp:lastModifiedBy>包子君。</cp:lastModifiedBy>
  <dcterms:modified xsi:type="dcterms:W3CDTF">2024-11-22T18:08:23Z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45FF4471B97D88C59A0B3F675D819867_41</vt:lpwstr>
  </property>
</Properties>
</file>